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AB6D" w14:textId="77777777" w:rsidR="004308A9" w:rsidRDefault="004308A9" w:rsidP="004308A9">
      <w:pPr>
        <w:jc w:val="center"/>
        <w:rPr>
          <w:rFonts w:ascii="MS Reference Sans Serif" w:hAnsi="MS Reference Sans Serif"/>
          <w:b/>
          <w:bCs/>
          <w:color w:val="1F4E79" w:themeColor="accent1" w:themeShade="80"/>
          <w:sz w:val="72"/>
          <w:szCs w:val="72"/>
        </w:rPr>
      </w:pPr>
      <w:r w:rsidRPr="00062172">
        <w:rPr>
          <w:rFonts w:ascii="MS Reference Sans Serif" w:hAnsi="MS Reference Sans Serif"/>
          <w:b/>
          <w:bCs/>
          <w:color w:val="1F4E79" w:themeColor="accent1" w:themeShade="80"/>
          <w:sz w:val="72"/>
          <w:szCs w:val="72"/>
        </w:rPr>
        <w:t xml:space="preserve">SEMESTER </w:t>
      </w:r>
      <w:r>
        <w:rPr>
          <w:rFonts w:ascii="MS Reference Sans Serif" w:hAnsi="MS Reference Sans Serif"/>
          <w:b/>
          <w:bCs/>
          <w:color w:val="1F4E79" w:themeColor="accent1" w:themeShade="80"/>
          <w:sz w:val="72"/>
          <w:szCs w:val="72"/>
        </w:rPr>
        <w:t>TWO</w:t>
      </w:r>
      <w:r w:rsidRPr="00062172">
        <w:rPr>
          <w:rFonts w:ascii="MS Reference Sans Serif" w:hAnsi="MS Reference Sans Serif"/>
          <w:b/>
          <w:bCs/>
          <w:color w:val="1F4E79" w:themeColor="accent1" w:themeShade="80"/>
          <w:sz w:val="72"/>
          <w:szCs w:val="72"/>
        </w:rPr>
        <w:t xml:space="preserve"> 20</w:t>
      </w:r>
      <w:r>
        <w:rPr>
          <w:rFonts w:ascii="MS Reference Sans Serif" w:hAnsi="MS Reference Sans Serif"/>
          <w:b/>
          <w:bCs/>
          <w:color w:val="1F4E79" w:themeColor="accent1" w:themeShade="80"/>
          <w:sz w:val="72"/>
          <w:szCs w:val="72"/>
        </w:rPr>
        <w:t>23</w:t>
      </w:r>
    </w:p>
    <w:p w14:paraId="050D62F9" w14:textId="65A8195B" w:rsidR="004308A9" w:rsidRDefault="004308A9" w:rsidP="004308A9">
      <w:pPr>
        <w:jc w:val="center"/>
        <w:rPr>
          <w:rFonts w:ascii="MS Reference Sans Serif" w:hAnsi="MS Reference Sans Serif"/>
          <w:color w:val="1F4E79" w:themeColor="accent1" w:themeShade="80"/>
          <w:sz w:val="32"/>
          <w:szCs w:val="32"/>
        </w:rPr>
      </w:pPr>
    </w:p>
    <w:p w14:paraId="6D9A8CFF" w14:textId="77777777" w:rsidR="004308A9" w:rsidRDefault="004308A9" w:rsidP="004308A9">
      <w:pPr>
        <w:spacing w:after="120"/>
        <w:rPr>
          <w:rFonts w:cs="Arial"/>
          <w:sz w:val="20"/>
          <w:szCs w:val="20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4308A9" w:rsidRPr="00062172" w14:paraId="09053A78" w14:textId="77777777" w:rsidTr="00790894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D2008B9" w14:textId="77777777" w:rsidR="004308A9" w:rsidRPr="00062172" w:rsidRDefault="004308A9" w:rsidP="00C81EBD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Time/period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0FB853D" w14:textId="77777777" w:rsidR="004308A9" w:rsidRPr="00062172" w:rsidRDefault="004308A9" w:rsidP="00C81EBD">
            <w:pPr>
              <w:jc w:val="center"/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C333B72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7C466E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EA69E68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1801AD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062172">
              <w:rPr>
                <w:rFonts w:ascii="MS Reference Sans Serif" w:hAnsi="MS Reference Sans Serif" w:cs="Arial"/>
                <w:b/>
                <w:bCs/>
                <w:color w:val="1F4E79" w:themeColor="accent1" w:themeShade="80"/>
                <w:sz w:val="28"/>
                <w:szCs w:val="28"/>
              </w:rPr>
              <w:t>Friday</w:t>
            </w:r>
          </w:p>
        </w:tc>
      </w:tr>
      <w:tr w:rsidR="004308A9" w:rsidRPr="00062172" w14:paraId="16E398A8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8A0C14C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9am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40D3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ABAE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0190" w14:textId="77777777" w:rsidR="004308A9" w:rsidRPr="00901047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  <w:t>LW3109 Tort Law 2 AMB1021 O’hEocha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27F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B364" w14:textId="77777777" w:rsidR="004308A9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  <w:p w14:paraId="57FCC377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3084C37B" w14:textId="77777777" w:rsidTr="00790894">
        <w:trPr>
          <w:cantSplit/>
          <w:trHeight w:hRule="exact" w:val="9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4641224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10am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AFE3" w14:textId="77777777" w:rsidR="004308A9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SP2114 Introduction to Government</w:t>
            </w:r>
          </w:p>
          <w:p w14:paraId="14209C3E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SC001 Richard Kirwan Theatre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A4E7" w14:textId="77777777" w:rsidR="004308A9" w:rsidRPr="00C428B0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1C76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E650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3FE4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1F1028C0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04C06C2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11am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2418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864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6E23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1EBD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1352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4CBB06DB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9F8203F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12noon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EA33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9425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45AE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EFD0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E2F8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SP2114 Introduction to Government AC001 O’Flaherty Theatre</w:t>
            </w:r>
          </w:p>
        </w:tc>
      </w:tr>
      <w:tr w:rsidR="004308A9" w:rsidRPr="00062172" w14:paraId="4170C096" w14:textId="77777777" w:rsidTr="00790894">
        <w:trPr>
          <w:cantSplit/>
          <w:trHeight w:hRule="exact" w:val="15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E02D354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1pm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5263" w14:textId="77777777" w:rsidR="004308A9" w:rsidRPr="00790894" w:rsidRDefault="00A87C33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</w:pPr>
            <w:r w:rsidRPr="00790894"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  <w:t xml:space="preserve">SP1127 Practicing Government </w:t>
            </w:r>
          </w:p>
          <w:p w14:paraId="21EC283B" w14:textId="3C8394A5" w:rsidR="00A87C33" w:rsidRPr="00790894" w:rsidRDefault="00A87C33" w:rsidP="00A87C33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</w:pPr>
            <w:r w:rsidRPr="00790894"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  <w:t>Aras Cairnes</w:t>
            </w:r>
          </w:p>
          <w:p w14:paraId="4ABB917E" w14:textId="03B06A56" w:rsidR="00A87C33" w:rsidRPr="00790894" w:rsidRDefault="00A87C33" w:rsidP="00A87C33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</w:pPr>
            <w:r w:rsidRPr="00790894"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  <w:t xml:space="preserve">Group 1: CA001 </w:t>
            </w:r>
          </w:p>
          <w:p w14:paraId="0D721A35" w14:textId="41BB5513" w:rsidR="00A87C33" w:rsidRPr="00062172" w:rsidRDefault="00A87C33" w:rsidP="00A87C33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 w:rsidRPr="00790894">
              <w:rPr>
                <w:rFonts w:ascii="MS Reference Sans Serif" w:eastAsia="Arial Unicode MS" w:hAnsi="MS Reference Sans Serif" w:cs="Arial"/>
                <w:color w:val="1F4E79" w:themeColor="accent1" w:themeShade="80"/>
              </w:rPr>
              <w:t>Group 2: CA003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0AD0" w14:textId="77777777" w:rsidR="004308A9" w:rsidRPr="008054DC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20"/>
                <w:szCs w:val="20"/>
              </w:rPr>
            </w:pPr>
            <w:r w:rsidRPr="008054DC">
              <w:rPr>
                <w:color w:val="002060"/>
                <w:sz w:val="20"/>
                <w:szCs w:val="20"/>
              </w:rPr>
              <w:t>EC1109 Skills for Economics 2 in AMB-1021 COLM O H-EO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A2B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B028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4E3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417AD868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D991635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AF52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9BE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 w:rsidRPr="008054DC">
              <w:rPr>
                <w:color w:val="002060"/>
                <w:sz w:val="20"/>
                <w:szCs w:val="20"/>
              </w:rPr>
              <w:t>EC136 Principles of Macroeconomics in SC001 - RICHARD KIRWAN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DE55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235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BC5C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7E06A885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0CCF675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3pm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B6D3" w14:textId="77777777" w:rsidR="004308A9" w:rsidRPr="007D1D07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B211" w14:textId="77777777" w:rsidR="004308A9" w:rsidRPr="00A757FA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color w:val="1F4E79" w:themeColor="accent1" w:themeShade="8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01ED" w14:textId="77777777" w:rsidR="004308A9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LW3109 Tort Law 2</w:t>
            </w:r>
          </w:p>
          <w:p w14:paraId="2497D37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AMB1022 Fottrell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50B8" w14:textId="77777777" w:rsidR="004308A9" w:rsidRPr="008054DC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002060"/>
                <w:sz w:val="20"/>
                <w:szCs w:val="20"/>
              </w:rPr>
            </w:pPr>
            <w:r w:rsidRPr="008054DC">
              <w:rPr>
                <w:color w:val="002060"/>
                <w:sz w:val="20"/>
                <w:szCs w:val="20"/>
              </w:rPr>
              <w:t>EC136 Principles of Macroeconomics in AC001 - OFLAHERTY LECTURE THEATRE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854D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01007A32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07BF67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4pm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3E45" w14:textId="77777777" w:rsidR="004308A9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LW126 Legal Skills</w:t>
            </w:r>
          </w:p>
          <w:p w14:paraId="3423A227" w14:textId="77777777" w:rsidR="004308A9" w:rsidRPr="00062172" w:rsidRDefault="004308A9" w:rsidP="00C81EBD">
            <w:pP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Anderson Theatre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77C6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DD5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45F7" w14:textId="77777777" w:rsidR="004308A9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LW126 Legal Skills</w:t>
            </w:r>
          </w:p>
          <w:p w14:paraId="750AF0E4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  <w:t>AMB 1022 Fottrell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44B4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552349C9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A5C8A9D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5pm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503A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7FF9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4CCF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7F28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1932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4308A9" w:rsidRPr="00062172" w14:paraId="22A94BCD" w14:textId="77777777" w:rsidTr="00790894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5D28DD1" w14:textId="77777777" w:rsidR="004308A9" w:rsidRPr="00062172" w:rsidRDefault="004308A9" w:rsidP="00C81EBD">
            <w:pPr>
              <w:jc w:val="center"/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</w:pPr>
            <w:r w:rsidRPr="00062172">
              <w:rPr>
                <w:rFonts w:ascii="MS Reference Sans Serif" w:eastAsia="Arial Unicode MS" w:hAnsi="MS Reference Sans Serif" w:cs="Arial"/>
                <w:b/>
                <w:bCs/>
                <w:color w:val="1F4E79" w:themeColor="accent1" w:themeShade="80"/>
                <w:szCs w:val="20"/>
              </w:rPr>
              <w:t>6pm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770C" w14:textId="77777777" w:rsidR="004308A9" w:rsidRPr="00062172" w:rsidRDefault="004308A9" w:rsidP="00C81EBD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E553" w14:textId="77777777" w:rsidR="004308A9" w:rsidRPr="00062172" w:rsidRDefault="004308A9" w:rsidP="00C81EBD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04C15" w14:textId="77777777" w:rsidR="004308A9" w:rsidRPr="00062172" w:rsidRDefault="004308A9" w:rsidP="00C81EBD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C4E8" w14:textId="77777777" w:rsidR="004308A9" w:rsidRPr="00062172" w:rsidRDefault="004308A9" w:rsidP="00C81EBD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CBD4" w14:textId="77777777" w:rsidR="004308A9" w:rsidRPr="00062172" w:rsidRDefault="004308A9" w:rsidP="00C81EBD">
            <w:pPr>
              <w:jc w:val="center"/>
              <w:rPr>
                <w:rFonts w:eastAsia="Arial Unicode MS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3CDAB66" w14:textId="77777777" w:rsidR="004308A9" w:rsidRPr="00062172" w:rsidRDefault="004308A9" w:rsidP="004308A9">
      <w:pPr>
        <w:pStyle w:val="Footer"/>
        <w:tabs>
          <w:tab w:val="clear" w:pos="4153"/>
          <w:tab w:val="clear" w:pos="8306"/>
          <w:tab w:val="right" w:pos="15000"/>
        </w:tabs>
        <w:rPr>
          <w:color w:val="1F4E79" w:themeColor="accent1" w:themeShade="80"/>
          <w:sz w:val="16"/>
        </w:rPr>
      </w:pPr>
    </w:p>
    <w:p w14:paraId="14353D2D" w14:textId="77777777" w:rsidR="004308A9" w:rsidRDefault="004308A9" w:rsidP="004308A9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</w:p>
    <w:p w14:paraId="5978A802" w14:textId="77777777" w:rsidR="004308A9" w:rsidRDefault="004308A9" w:rsidP="004308A9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</w:p>
    <w:p w14:paraId="04D24B91" w14:textId="77777777" w:rsidR="00000000" w:rsidRDefault="00000000"/>
    <w:sectPr w:rsidR="004E49F0" w:rsidSect="004308A9">
      <w:headerReference w:type="default" r:id="rId9"/>
      <w:footerReference w:type="default" r:id="rId10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AC8A" w14:textId="77777777" w:rsidR="00593B94" w:rsidRDefault="00593B94">
      <w:r>
        <w:separator/>
      </w:r>
    </w:p>
  </w:endnote>
  <w:endnote w:type="continuationSeparator" w:id="0">
    <w:p w14:paraId="42DDB794" w14:textId="77777777" w:rsidR="00593B94" w:rsidRDefault="005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C9EE" w14:textId="77777777" w:rsidR="00000000" w:rsidRDefault="0000000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C092" w14:textId="77777777" w:rsidR="00593B94" w:rsidRDefault="00593B94">
      <w:r>
        <w:separator/>
      </w:r>
    </w:p>
  </w:footnote>
  <w:footnote w:type="continuationSeparator" w:id="0">
    <w:p w14:paraId="24E7DC8F" w14:textId="77777777" w:rsidR="00593B94" w:rsidRDefault="0059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9C62" w14:textId="77777777" w:rsidR="00000000" w:rsidRDefault="0000000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A9"/>
    <w:rsid w:val="003941AB"/>
    <w:rsid w:val="003C18AC"/>
    <w:rsid w:val="004308A9"/>
    <w:rsid w:val="00593B94"/>
    <w:rsid w:val="00790894"/>
    <w:rsid w:val="00A87C33"/>
    <w:rsid w:val="00B121E8"/>
    <w:rsid w:val="00D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A63"/>
  <w15:chartTrackingRefBased/>
  <w15:docId w15:val="{FF36C62E-EEEF-4784-8F02-0CFE48D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308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308A9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430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08A9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76f217ccca0dd5bc175c7ba8f8df63ae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f95b78ab832da977c7d3d8a264f1b55b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DC220-4FCE-4217-B402-7CA2F16B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19107-7CE5-4413-9C82-0D254E64C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6A8A9-4947-40D4-B3B2-263050005E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Lisa</dc:creator>
  <cp:keywords/>
  <dc:description/>
  <cp:lastModifiedBy>Lisa Walshe</cp:lastModifiedBy>
  <cp:revision>2</cp:revision>
  <dcterms:created xsi:type="dcterms:W3CDTF">2023-09-05T12:41:00Z</dcterms:created>
  <dcterms:modified xsi:type="dcterms:W3CDTF">2023-09-05T12:41:00Z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